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5D28" w:rsidRPr="00FB739F" w:rsidRDefault="00F3111B" w:rsidP="00F3111B">
      <w:pPr>
        <w:pStyle w:val="ListParagraph"/>
        <w:numPr>
          <w:ilvl w:val="0"/>
          <w:numId w:val="1"/>
        </w:numPr>
        <w:spacing w:line="480" w:lineRule="auto"/>
        <w:ind w:left="360"/>
        <w:jc w:val="both"/>
        <w:rPr>
          <w:rFonts w:ascii="Times New Roman" w:hAnsi="Times New Roman" w:cs="Times New Roman"/>
          <w:sz w:val="24"/>
          <w:szCs w:val="24"/>
        </w:rPr>
      </w:pPr>
      <w:r w:rsidRPr="00FB739F">
        <w:rPr>
          <w:rFonts w:ascii="Times New Roman" w:hAnsi="Times New Roman" w:cs="Times New Roman"/>
          <w:sz w:val="24"/>
          <w:szCs w:val="24"/>
        </w:rPr>
        <w:t xml:space="preserve"> </w:t>
      </w:r>
      <w:r w:rsidRPr="00FB739F">
        <w:rPr>
          <w:rFonts w:ascii="Times New Roman" w:hAnsi="Times New Roman" w:cs="Times New Roman"/>
          <w:sz w:val="24"/>
          <w:szCs w:val="24"/>
        </w:rPr>
        <w:tab/>
      </w:r>
      <w:r w:rsidR="00D816FF" w:rsidRPr="00FB739F">
        <w:rPr>
          <w:rFonts w:ascii="Times New Roman" w:hAnsi="Times New Roman" w:cs="Times New Roman"/>
          <w:sz w:val="24"/>
          <w:szCs w:val="24"/>
        </w:rPr>
        <w:t xml:space="preserve">Takeover bid in simple terms refers to purchase of one company i.e. the target by another company the acquirer. There are a number of </w:t>
      </w:r>
      <w:r w:rsidR="004D5D28" w:rsidRPr="00FB739F">
        <w:rPr>
          <w:rFonts w:ascii="Times New Roman" w:hAnsi="Times New Roman" w:cs="Times New Roman"/>
          <w:sz w:val="24"/>
          <w:szCs w:val="24"/>
        </w:rPr>
        <w:t>pros</w:t>
      </w:r>
      <w:r w:rsidR="00D816FF" w:rsidRPr="00FB739F">
        <w:rPr>
          <w:rFonts w:ascii="Times New Roman" w:hAnsi="Times New Roman" w:cs="Times New Roman"/>
          <w:sz w:val="24"/>
          <w:szCs w:val="24"/>
        </w:rPr>
        <w:t xml:space="preserve"> and cons associated by any takeover bid depending on the ultimate motivation behind such a bid and the future plans </w:t>
      </w:r>
      <w:r w:rsidR="004D5D28" w:rsidRPr="00FB739F">
        <w:rPr>
          <w:rFonts w:ascii="Times New Roman" w:hAnsi="Times New Roman" w:cs="Times New Roman"/>
          <w:sz w:val="24"/>
          <w:szCs w:val="24"/>
        </w:rPr>
        <w:t>associated</w:t>
      </w:r>
      <w:r w:rsidR="00D816FF" w:rsidRPr="00FB739F">
        <w:rPr>
          <w:rFonts w:ascii="Times New Roman" w:hAnsi="Times New Roman" w:cs="Times New Roman"/>
          <w:sz w:val="24"/>
          <w:szCs w:val="24"/>
        </w:rPr>
        <w:t xml:space="preserve"> with the </w:t>
      </w:r>
      <w:r w:rsidR="004D5D28" w:rsidRPr="00FB739F">
        <w:rPr>
          <w:rFonts w:ascii="Times New Roman" w:hAnsi="Times New Roman" w:cs="Times New Roman"/>
          <w:sz w:val="24"/>
          <w:szCs w:val="24"/>
        </w:rPr>
        <w:t>target</w:t>
      </w:r>
      <w:r w:rsidR="00D816FF" w:rsidRPr="00FB739F">
        <w:rPr>
          <w:rFonts w:ascii="Times New Roman" w:hAnsi="Times New Roman" w:cs="Times New Roman"/>
          <w:sz w:val="24"/>
          <w:szCs w:val="24"/>
        </w:rPr>
        <w:t xml:space="preserve"> once acquisition is complete. For instance, </w:t>
      </w:r>
      <w:r w:rsidR="004D5D28" w:rsidRPr="00FB739F">
        <w:rPr>
          <w:rFonts w:ascii="Times New Roman" w:hAnsi="Times New Roman" w:cs="Times New Roman"/>
          <w:sz w:val="24"/>
          <w:szCs w:val="24"/>
        </w:rPr>
        <w:t>Takeover’s may lead to mergers which create synergies that lead to creation of higher value of the combined entity as compared to sum of values for both target and acquirer individually. Similarly, takeovers may provide a chance to a new management to release value which previous management was unable to release and hence be of advantage to all the stakeholders as a whole.</w:t>
      </w:r>
      <w:r w:rsidR="006442E4" w:rsidRPr="00FB739F">
        <w:rPr>
          <w:rFonts w:ascii="Times New Roman" w:hAnsi="Times New Roman" w:cs="Times New Roman"/>
          <w:sz w:val="24"/>
          <w:szCs w:val="24"/>
        </w:rPr>
        <w:t xml:space="preserve"> </w:t>
      </w:r>
      <w:r w:rsidR="004D5D28" w:rsidRPr="00FB739F">
        <w:rPr>
          <w:rFonts w:ascii="Times New Roman" w:hAnsi="Times New Roman" w:cs="Times New Roman"/>
          <w:sz w:val="24"/>
          <w:szCs w:val="24"/>
        </w:rPr>
        <w:t xml:space="preserve">Lastly, from the perspective of the target takeovers allow the existing management to loose responsibility of company debt and obligations and hence avoid default. </w:t>
      </w:r>
      <w:r w:rsidR="00EE5DDC" w:rsidRPr="00FB739F">
        <w:rPr>
          <w:rFonts w:ascii="Times New Roman" w:hAnsi="Times New Roman" w:cs="Times New Roman"/>
          <w:sz w:val="24"/>
          <w:szCs w:val="24"/>
        </w:rPr>
        <w:t>(New Direction, 2014)</w:t>
      </w:r>
      <w:r w:rsidR="006442E4" w:rsidRPr="00FB739F">
        <w:rPr>
          <w:rFonts w:ascii="Times New Roman" w:hAnsi="Times New Roman" w:cs="Times New Roman"/>
          <w:sz w:val="24"/>
          <w:szCs w:val="24"/>
        </w:rPr>
        <w:tab/>
      </w:r>
    </w:p>
    <w:p w:rsidR="006442E4" w:rsidRPr="00FB739F" w:rsidRDefault="004D5D28" w:rsidP="00F3111B">
      <w:pPr>
        <w:pStyle w:val="ListParagraph"/>
        <w:spacing w:line="480" w:lineRule="auto"/>
        <w:ind w:left="360" w:firstLine="360"/>
        <w:jc w:val="both"/>
        <w:rPr>
          <w:rFonts w:ascii="Times New Roman" w:hAnsi="Times New Roman" w:cs="Times New Roman"/>
          <w:sz w:val="24"/>
          <w:szCs w:val="24"/>
        </w:rPr>
      </w:pPr>
      <w:r w:rsidRPr="00FB739F">
        <w:rPr>
          <w:rFonts w:ascii="Times New Roman" w:hAnsi="Times New Roman" w:cs="Times New Roman"/>
          <w:sz w:val="24"/>
          <w:szCs w:val="24"/>
        </w:rPr>
        <w:t xml:space="preserve">On the flip side, if the motivation behind a takeover bid is to reduce competition it may lead to loss of choice and substitutes for the consumers. Another stakeholder group which is negatively impacted by takeover is the employees of target entity as takeovers are usually accompanied by layoffs and change in business management. Lastly, takeovers are not always successful and there is a risk that perceived synergies are never realized. </w:t>
      </w:r>
      <w:r w:rsidR="00EE5DDC" w:rsidRPr="00FB739F">
        <w:rPr>
          <w:rFonts w:ascii="Times New Roman" w:hAnsi="Times New Roman" w:cs="Times New Roman"/>
          <w:sz w:val="24"/>
          <w:szCs w:val="24"/>
        </w:rPr>
        <w:t>(New Direction, 2014)</w:t>
      </w:r>
    </w:p>
    <w:p w:rsidR="003B04C0" w:rsidRPr="00FB739F" w:rsidRDefault="00954F6F" w:rsidP="00954F6F">
      <w:pPr>
        <w:pStyle w:val="ListParagraph"/>
        <w:numPr>
          <w:ilvl w:val="0"/>
          <w:numId w:val="1"/>
        </w:numPr>
        <w:spacing w:line="480" w:lineRule="auto"/>
        <w:ind w:left="360"/>
        <w:jc w:val="both"/>
        <w:rPr>
          <w:rFonts w:ascii="Times New Roman" w:hAnsi="Times New Roman" w:cs="Times New Roman"/>
          <w:sz w:val="24"/>
          <w:szCs w:val="24"/>
        </w:rPr>
      </w:pPr>
      <w:r w:rsidRPr="00FB739F">
        <w:rPr>
          <w:rFonts w:ascii="Times New Roman" w:hAnsi="Times New Roman" w:cs="Times New Roman"/>
          <w:sz w:val="24"/>
          <w:szCs w:val="24"/>
        </w:rPr>
        <w:t xml:space="preserve"> </w:t>
      </w:r>
      <w:r w:rsidRPr="00FB739F">
        <w:rPr>
          <w:rFonts w:ascii="Times New Roman" w:hAnsi="Times New Roman" w:cs="Times New Roman"/>
          <w:sz w:val="24"/>
          <w:szCs w:val="24"/>
        </w:rPr>
        <w:tab/>
      </w:r>
      <w:r w:rsidR="003B04C0" w:rsidRPr="00FB739F">
        <w:rPr>
          <w:rFonts w:ascii="Times New Roman" w:hAnsi="Times New Roman" w:cs="Times New Roman"/>
          <w:sz w:val="24"/>
          <w:szCs w:val="24"/>
        </w:rPr>
        <w:t xml:space="preserve">The scenarios given will impact the overall returns generated by the project. For instance under scenario 1 where there is </w:t>
      </w:r>
      <w:r w:rsidR="00B03616" w:rsidRPr="00FB739F">
        <w:rPr>
          <w:rFonts w:ascii="Times New Roman" w:hAnsi="Times New Roman" w:cs="Times New Roman"/>
          <w:sz w:val="24"/>
          <w:szCs w:val="24"/>
        </w:rPr>
        <w:t>no</w:t>
      </w:r>
      <w:r w:rsidR="003B04C0" w:rsidRPr="00FB739F">
        <w:rPr>
          <w:rFonts w:ascii="Times New Roman" w:hAnsi="Times New Roman" w:cs="Times New Roman"/>
          <w:sz w:val="24"/>
          <w:szCs w:val="24"/>
        </w:rPr>
        <w:t xml:space="preserve"> change in exchange rate the project IRR will be the same as that generated in foreign </w:t>
      </w:r>
      <w:r w:rsidR="00A614B2" w:rsidRPr="00FB739F">
        <w:rPr>
          <w:rFonts w:ascii="Times New Roman" w:hAnsi="Times New Roman" w:cs="Times New Roman"/>
          <w:sz w:val="24"/>
          <w:szCs w:val="24"/>
        </w:rPr>
        <w:t>currency</w:t>
      </w:r>
      <w:r w:rsidR="003B04C0" w:rsidRPr="00FB739F">
        <w:rPr>
          <w:rFonts w:ascii="Times New Roman" w:hAnsi="Times New Roman" w:cs="Times New Roman"/>
          <w:sz w:val="24"/>
          <w:szCs w:val="24"/>
        </w:rPr>
        <w:t xml:space="preserve"> i.e. 23% which is greater than the company required return of 20%.However, under scenario 2 where </w:t>
      </w:r>
      <w:r w:rsidR="00A614B2" w:rsidRPr="00FB739F">
        <w:rPr>
          <w:rFonts w:ascii="Times New Roman" w:hAnsi="Times New Roman" w:cs="Times New Roman"/>
          <w:sz w:val="24"/>
          <w:szCs w:val="24"/>
        </w:rPr>
        <w:t>currency</w:t>
      </w:r>
      <w:r w:rsidR="003B04C0" w:rsidRPr="00FB739F">
        <w:rPr>
          <w:rFonts w:ascii="Times New Roman" w:hAnsi="Times New Roman" w:cs="Times New Roman"/>
          <w:sz w:val="24"/>
          <w:szCs w:val="24"/>
        </w:rPr>
        <w:t xml:space="preserve"> rates change the projects IRR is reduced to 5% well below company’s required return level. </w:t>
      </w:r>
    </w:p>
    <w:p w:rsidR="003B04C0" w:rsidRPr="00FB739F" w:rsidRDefault="003B04C0" w:rsidP="00954F6F">
      <w:pPr>
        <w:pStyle w:val="ListParagraph"/>
        <w:spacing w:line="480" w:lineRule="auto"/>
        <w:ind w:left="360" w:firstLine="360"/>
        <w:jc w:val="both"/>
        <w:rPr>
          <w:rFonts w:ascii="Times New Roman" w:hAnsi="Times New Roman" w:cs="Times New Roman"/>
          <w:sz w:val="24"/>
          <w:szCs w:val="24"/>
        </w:rPr>
      </w:pPr>
      <w:r w:rsidRPr="00FB739F">
        <w:rPr>
          <w:rFonts w:ascii="Times New Roman" w:hAnsi="Times New Roman" w:cs="Times New Roman"/>
          <w:sz w:val="24"/>
          <w:szCs w:val="24"/>
        </w:rPr>
        <w:t xml:space="preserve">The key difference between a scenario and sensitivity </w:t>
      </w:r>
      <w:r w:rsidR="00A614B2" w:rsidRPr="00FB739F">
        <w:rPr>
          <w:rFonts w:ascii="Times New Roman" w:hAnsi="Times New Roman" w:cs="Times New Roman"/>
          <w:sz w:val="24"/>
          <w:szCs w:val="24"/>
        </w:rPr>
        <w:t>analysis</w:t>
      </w:r>
      <w:r w:rsidRPr="00FB739F">
        <w:rPr>
          <w:rFonts w:ascii="Times New Roman" w:hAnsi="Times New Roman" w:cs="Times New Roman"/>
          <w:sz w:val="24"/>
          <w:szCs w:val="24"/>
        </w:rPr>
        <w:t xml:space="preserve"> is that the </w:t>
      </w:r>
      <w:r w:rsidR="00A614B2" w:rsidRPr="00FB739F">
        <w:rPr>
          <w:rFonts w:ascii="Times New Roman" w:hAnsi="Times New Roman" w:cs="Times New Roman"/>
          <w:sz w:val="24"/>
          <w:szCs w:val="24"/>
        </w:rPr>
        <w:t>latter</w:t>
      </w:r>
      <w:r w:rsidRPr="00FB739F">
        <w:rPr>
          <w:rFonts w:ascii="Times New Roman" w:hAnsi="Times New Roman" w:cs="Times New Roman"/>
          <w:sz w:val="24"/>
          <w:szCs w:val="24"/>
        </w:rPr>
        <w:t xml:space="preserve"> is used to understand the change in values of an independent variable impact the values of the </w:t>
      </w:r>
      <w:r w:rsidRPr="00FB739F">
        <w:rPr>
          <w:rFonts w:ascii="Times New Roman" w:hAnsi="Times New Roman" w:cs="Times New Roman"/>
          <w:sz w:val="24"/>
          <w:szCs w:val="24"/>
        </w:rPr>
        <w:lastRenderedPageBreak/>
        <w:t xml:space="preserve">dependent variable. </w:t>
      </w:r>
      <w:r w:rsidR="00A614B2" w:rsidRPr="00FB739F">
        <w:rPr>
          <w:rFonts w:ascii="Times New Roman" w:hAnsi="Times New Roman" w:cs="Times New Roman"/>
          <w:sz w:val="24"/>
          <w:szCs w:val="24"/>
        </w:rPr>
        <w:t xml:space="preserve">Scenario analysis on the other hand looks at the impact of change in more than one variable on the outcome. (8020 Consulting, 2020) </w:t>
      </w:r>
    </w:p>
    <w:p w:rsidR="006442E4" w:rsidRPr="00FB739F" w:rsidRDefault="00B03616" w:rsidP="00754871">
      <w:pPr>
        <w:pStyle w:val="ListParagraph"/>
        <w:numPr>
          <w:ilvl w:val="0"/>
          <w:numId w:val="1"/>
        </w:numPr>
        <w:spacing w:line="480" w:lineRule="auto"/>
        <w:ind w:left="360"/>
        <w:jc w:val="both"/>
        <w:rPr>
          <w:rFonts w:ascii="Times New Roman" w:hAnsi="Times New Roman" w:cs="Times New Roman"/>
          <w:sz w:val="24"/>
          <w:szCs w:val="24"/>
        </w:rPr>
      </w:pPr>
      <w:r w:rsidRPr="00FB739F">
        <w:rPr>
          <w:rFonts w:ascii="Times New Roman" w:hAnsi="Times New Roman" w:cs="Times New Roman"/>
          <w:sz w:val="24"/>
          <w:szCs w:val="24"/>
        </w:rPr>
        <w:t xml:space="preserve"> </w:t>
      </w:r>
      <w:r w:rsidRPr="00FB739F">
        <w:rPr>
          <w:rFonts w:ascii="Times New Roman" w:hAnsi="Times New Roman" w:cs="Times New Roman"/>
          <w:sz w:val="24"/>
          <w:szCs w:val="24"/>
        </w:rPr>
        <w:tab/>
      </w:r>
      <w:r w:rsidR="00754871" w:rsidRPr="00FB739F">
        <w:rPr>
          <w:rFonts w:ascii="Times New Roman" w:hAnsi="Times New Roman" w:cs="Times New Roman"/>
          <w:sz w:val="24"/>
          <w:szCs w:val="24"/>
        </w:rPr>
        <w:t xml:space="preserve">Summary of IRR, NPV and </w:t>
      </w:r>
      <w:r w:rsidRPr="00FB739F">
        <w:rPr>
          <w:rFonts w:ascii="Times New Roman" w:hAnsi="Times New Roman" w:cs="Times New Roman"/>
          <w:sz w:val="24"/>
          <w:szCs w:val="24"/>
        </w:rPr>
        <w:t>Payback</w:t>
      </w:r>
      <w:r w:rsidR="00754871" w:rsidRPr="00FB739F">
        <w:rPr>
          <w:rFonts w:ascii="Times New Roman" w:hAnsi="Times New Roman" w:cs="Times New Roman"/>
          <w:sz w:val="24"/>
          <w:szCs w:val="24"/>
        </w:rPr>
        <w:t xml:space="preserve"> period for the project investment is presented below</w:t>
      </w:r>
      <w:r w:rsidRPr="00FB739F">
        <w:rPr>
          <w:rFonts w:ascii="Times New Roman" w:hAnsi="Times New Roman" w:cs="Times New Roman"/>
          <w:sz w:val="24"/>
          <w:szCs w:val="24"/>
        </w:rPr>
        <w:t xml:space="preserve"> assuming a discount rate of 15%</w:t>
      </w:r>
      <w:r w:rsidR="00754871" w:rsidRPr="00FB739F">
        <w:rPr>
          <w:rFonts w:ascii="Times New Roman" w:hAnsi="Times New Roman" w:cs="Times New Roman"/>
          <w:sz w:val="24"/>
          <w:szCs w:val="24"/>
        </w:rPr>
        <w:t>;</w:t>
      </w:r>
    </w:p>
    <w:tbl>
      <w:tblPr>
        <w:tblW w:w="4709" w:type="pct"/>
        <w:tblInd w:w="558" w:type="dxa"/>
        <w:tblLook w:val="04A0" w:firstRow="1" w:lastRow="0" w:firstColumn="1" w:lastColumn="0" w:noHBand="0" w:noVBand="1"/>
      </w:tblPr>
      <w:tblGrid>
        <w:gridCol w:w="3467"/>
        <w:gridCol w:w="1633"/>
        <w:gridCol w:w="1996"/>
        <w:gridCol w:w="1923"/>
      </w:tblGrid>
      <w:tr w:rsidR="00B03616" w:rsidRPr="00B03616" w:rsidTr="00B03616">
        <w:trPr>
          <w:trHeight w:val="300"/>
        </w:trPr>
        <w:tc>
          <w:tcPr>
            <w:tcW w:w="1948" w:type="pct"/>
            <w:tcBorders>
              <w:top w:val="single" w:sz="4" w:space="0" w:color="808080"/>
              <w:left w:val="single" w:sz="4" w:space="0" w:color="808080"/>
              <w:bottom w:val="single" w:sz="4" w:space="0" w:color="808080"/>
              <w:right w:val="single" w:sz="4" w:space="0" w:color="808080"/>
            </w:tcBorders>
            <w:shd w:val="clear" w:color="000000" w:fill="538DD5"/>
            <w:noWrap/>
            <w:vAlign w:val="center"/>
            <w:hideMark/>
          </w:tcPr>
          <w:p w:rsidR="00B03616" w:rsidRPr="00B03616" w:rsidRDefault="00B03616" w:rsidP="00B03616">
            <w:pPr>
              <w:spacing w:after="0" w:line="240" w:lineRule="auto"/>
              <w:jc w:val="center"/>
              <w:rPr>
                <w:rFonts w:ascii="Times New Roman" w:eastAsia="Times New Roman" w:hAnsi="Times New Roman" w:cs="Times New Roman"/>
                <w:b/>
                <w:bCs/>
                <w:color w:val="FFFFFF"/>
                <w:sz w:val="24"/>
                <w:szCs w:val="24"/>
              </w:rPr>
            </w:pPr>
            <w:r w:rsidRPr="00B03616">
              <w:rPr>
                <w:rFonts w:ascii="Times New Roman" w:eastAsia="Times New Roman" w:hAnsi="Times New Roman" w:cs="Times New Roman"/>
                <w:b/>
                <w:bCs/>
                <w:color w:val="FFFFFF"/>
                <w:sz w:val="24"/>
                <w:szCs w:val="24"/>
              </w:rPr>
              <w:t>Description</w:t>
            </w:r>
          </w:p>
        </w:tc>
        <w:tc>
          <w:tcPr>
            <w:tcW w:w="931" w:type="pct"/>
            <w:tcBorders>
              <w:top w:val="single" w:sz="4" w:space="0" w:color="808080"/>
              <w:left w:val="nil"/>
              <w:bottom w:val="single" w:sz="4" w:space="0" w:color="808080"/>
              <w:right w:val="single" w:sz="4" w:space="0" w:color="808080"/>
            </w:tcBorders>
            <w:shd w:val="clear" w:color="000000" w:fill="538DD5"/>
            <w:noWrap/>
            <w:vAlign w:val="center"/>
            <w:hideMark/>
          </w:tcPr>
          <w:p w:rsidR="00B03616" w:rsidRPr="00B03616" w:rsidRDefault="00B03616" w:rsidP="00B03616">
            <w:pPr>
              <w:spacing w:after="0" w:line="240" w:lineRule="auto"/>
              <w:jc w:val="center"/>
              <w:rPr>
                <w:rFonts w:ascii="Times New Roman" w:eastAsia="Times New Roman" w:hAnsi="Times New Roman" w:cs="Times New Roman"/>
                <w:b/>
                <w:bCs/>
                <w:color w:val="FFFFFF"/>
                <w:sz w:val="24"/>
                <w:szCs w:val="24"/>
              </w:rPr>
            </w:pPr>
            <w:r w:rsidRPr="00B03616">
              <w:rPr>
                <w:rFonts w:ascii="Times New Roman" w:eastAsia="Times New Roman" w:hAnsi="Times New Roman" w:cs="Times New Roman"/>
                <w:b/>
                <w:bCs/>
                <w:color w:val="FFFFFF"/>
                <w:sz w:val="24"/>
                <w:szCs w:val="24"/>
              </w:rPr>
              <w:t>IRR</w:t>
            </w:r>
          </w:p>
        </w:tc>
        <w:tc>
          <w:tcPr>
            <w:tcW w:w="1031" w:type="pct"/>
            <w:tcBorders>
              <w:top w:val="single" w:sz="4" w:space="0" w:color="808080"/>
              <w:left w:val="nil"/>
              <w:bottom w:val="single" w:sz="4" w:space="0" w:color="808080"/>
              <w:right w:val="single" w:sz="4" w:space="0" w:color="808080"/>
            </w:tcBorders>
            <w:shd w:val="clear" w:color="000000" w:fill="538DD5"/>
            <w:noWrap/>
            <w:vAlign w:val="center"/>
            <w:hideMark/>
          </w:tcPr>
          <w:p w:rsidR="00B03616" w:rsidRPr="00B03616" w:rsidRDefault="00B03616" w:rsidP="00B03616">
            <w:pPr>
              <w:spacing w:after="0" w:line="240" w:lineRule="auto"/>
              <w:jc w:val="center"/>
              <w:rPr>
                <w:rFonts w:ascii="Times New Roman" w:eastAsia="Times New Roman" w:hAnsi="Times New Roman" w:cs="Times New Roman"/>
                <w:b/>
                <w:bCs/>
                <w:color w:val="FFFFFF"/>
                <w:sz w:val="24"/>
                <w:szCs w:val="24"/>
              </w:rPr>
            </w:pPr>
            <w:r w:rsidRPr="00B03616">
              <w:rPr>
                <w:rFonts w:ascii="Times New Roman" w:eastAsia="Times New Roman" w:hAnsi="Times New Roman" w:cs="Times New Roman"/>
                <w:b/>
                <w:bCs/>
                <w:color w:val="FFFFFF"/>
                <w:sz w:val="24"/>
                <w:szCs w:val="24"/>
              </w:rPr>
              <w:t>NPV</w:t>
            </w:r>
          </w:p>
        </w:tc>
        <w:tc>
          <w:tcPr>
            <w:tcW w:w="1089" w:type="pct"/>
            <w:tcBorders>
              <w:top w:val="nil"/>
              <w:left w:val="nil"/>
              <w:bottom w:val="nil"/>
              <w:right w:val="single" w:sz="4" w:space="0" w:color="808080"/>
            </w:tcBorders>
            <w:shd w:val="clear" w:color="000000" w:fill="538DD5"/>
            <w:noWrap/>
            <w:vAlign w:val="center"/>
            <w:hideMark/>
          </w:tcPr>
          <w:p w:rsidR="00B03616" w:rsidRPr="00B03616" w:rsidRDefault="00B03616" w:rsidP="00B03616">
            <w:pPr>
              <w:spacing w:after="0" w:line="240" w:lineRule="auto"/>
              <w:jc w:val="center"/>
              <w:rPr>
                <w:rFonts w:ascii="Times New Roman" w:eastAsia="Times New Roman" w:hAnsi="Times New Roman" w:cs="Times New Roman"/>
                <w:b/>
                <w:bCs/>
                <w:color w:val="FFFFFF"/>
                <w:sz w:val="24"/>
                <w:szCs w:val="24"/>
              </w:rPr>
            </w:pPr>
            <w:r w:rsidRPr="00B03616">
              <w:rPr>
                <w:rFonts w:ascii="Times New Roman" w:eastAsia="Times New Roman" w:hAnsi="Times New Roman" w:cs="Times New Roman"/>
                <w:b/>
                <w:bCs/>
                <w:color w:val="FFFFFF"/>
                <w:sz w:val="24"/>
                <w:szCs w:val="24"/>
              </w:rPr>
              <w:t>Pay Back Period</w:t>
            </w:r>
          </w:p>
        </w:tc>
      </w:tr>
      <w:tr w:rsidR="00B03616" w:rsidRPr="00B03616" w:rsidTr="00B03616">
        <w:trPr>
          <w:trHeight w:val="300"/>
        </w:trPr>
        <w:tc>
          <w:tcPr>
            <w:tcW w:w="1948" w:type="pct"/>
            <w:tcBorders>
              <w:top w:val="nil"/>
              <w:left w:val="single" w:sz="4" w:space="0" w:color="808080"/>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rPr>
                <w:rFonts w:ascii="Times New Roman" w:eastAsia="Times New Roman" w:hAnsi="Times New Roman" w:cs="Times New Roman"/>
                <w:color w:val="000000"/>
                <w:sz w:val="24"/>
                <w:szCs w:val="24"/>
              </w:rPr>
            </w:pPr>
            <w:r w:rsidRPr="00B03616">
              <w:rPr>
                <w:rFonts w:ascii="Times New Roman" w:eastAsia="Times New Roman" w:hAnsi="Times New Roman" w:cs="Times New Roman"/>
                <w:color w:val="000000"/>
                <w:sz w:val="24"/>
                <w:szCs w:val="24"/>
              </w:rPr>
              <w:t>In MXN Peso</w:t>
            </w:r>
          </w:p>
        </w:tc>
        <w:tc>
          <w:tcPr>
            <w:tcW w:w="931" w:type="pct"/>
            <w:tcBorders>
              <w:top w:val="nil"/>
              <w:left w:val="nil"/>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jc w:val="right"/>
              <w:rPr>
                <w:rFonts w:ascii="Times New Roman" w:eastAsia="Times New Roman" w:hAnsi="Times New Roman" w:cs="Times New Roman"/>
                <w:color w:val="000000"/>
                <w:sz w:val="24"/>
                <w:szCs w:val="24"/>
              </w:rPr>
            </w:pPr>
            <w:r w:rsidRPr="00B03616">
              <w:rPr>
                <w:rFonts w:ascii="Times New Roman" w:eastAsia="Times New Roman" w:hAnsi="Times New Roman" w:cs="Times New Roman"/>
                <w:color w:val="000000"/>
                <w:sz w:val="24"/>
                <w:szCs w:val="24"/>
              </w:rPr>
              <w:t>23%</w:t>
            </w:r>
          </w:p>
        </w:tc>
        <w:tc>
          <w:tcPr>
            <w:tcW w:w="1031" w:type="pct"/>
            <w:tcBorders>
              <w:top w:val="nil"/>
              <w:left w:val="nil"/>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rPr>
                <w:rFonts w:ascii="Times New Roman" w:eastAsia="Times New Roman" w:hAnsi="Times New Roman" w:cs="Times New Roman"/>
                <w:color w:val="000000"/>
                <w:sz w:val="24"/>
                <w:szCs w:val="24"/>
              </w:rPr>
            </w:pPr>
            <w:r w:rsidRPr="00B03616">
              <w:rPr>
                <w:rFonts w:ascii="Times New Roman" w:eastAsia="Times New Roman" w:hAnsi="Times New Roman" w:cs="Times New Roman"/>
                <w:color w:val="000000"/>
                <w:sz w:val="24"/>
                <w:szCs w:val="24"/>
              </w:rPr>
              <w:t xml:space="preserve">          10,647,475 </w:t>
            </w:r>
          </w:p>
        </w:tc>
        <w:tc>
          <w:tcPr>
            <w:tcW w:w="1089" w:type="pct"/>
            <w:tcBorders>
              <w:top w:val="single" w:sz="4" w:space="0" w:color="808080"/>
              <w:left w:val="nil"/>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rPr>
                <w:rFonts w:ascii="Times New Roman" w:eastAsia="Times New Roman" w:hAnsi="Times New Roman" w:cs="Times New Roman"/>
                <w:color w:val="000000"/>
                <w:sz w:val="24"/>
                <w:szCs w:val="24"/>
              </w:rPr>
            </w:pPr>
            <w:r w:rsidRPr="00B03616">
              <w:rPr>
                <w:rFonts w:ascii="Times New Roman" w:eastAsia="Times New Roman" w:hAnsi="Times New Roman" w:cs="Times New Roman"/>
                <w:color w:val="000000"/>
                <w:sz w:val="24"/>
                <w:szCs w:val="24"/>
              </w:rPr>
              <w:t xml:space="preserve"> 2 Y 6 Month </w:t>
            </w:r>
          </w:p>
        </w:tc>
      </w:tr>
      <w:tr w:rsidR="00B03616" w:rsidRPr="00B03616" w:rsidTr="00B03616">
        <w:trPr>
          <w:trHeight w:val="300"/>
        </w:trPr>
        <w:tc>
          <w:tcPr>
            <w:tcW w:w="1948" w:type="pct"/>
            <w:tcBorders>
              <w:top w:val="nil"/>
              <w:left w:val="single" w:sz="4" w:space="0" w:color="808080"/>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rPr>
                <w:rFonts w:ascii="Times New Roman" w:eastAsia="Times New Roman" w:hAnsi="Times New Roman" w:cs="Times New Roman"/>
                <w:color w:val="000000"/>
                <w:sz w:val="24"/>
                <w:szCs w:val="24"/>
              </w:rPr>
            </w:pPr>
            <w:r w:rsidRPr="00B03616">
              <w:rPr>
                <w:rFonts w:ascii="Times New Roman" w:eastAsia="Times New Roman" w:hAnsi="Times New Roman" w:cs="Times New Roman"/>
                <w:color w:val="000000"/>
                <w:sz w:val="24"/>
                <w:szCs w:val="24"/>
              </w:rPr>
              <w:t>Scenario 1</w:t>
            </w:r>
          </w:p>
        </w:tc>
        <w:tc>
          <w:tcPr>
            <w:tcW w:w="931" w:type="pct"/>
            <w:tcBorders>
              <w:top w:val="nil"/>
              <w:left w:val="nil"/>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jc w:val="right"/>
              <w:rPr>
                <w:rFonts w:ascii="Times New Roman" w:eastAsia="Times New Roman" w:hAnsi="Times New Roman" w:cs="Times New Roman"/>
                <w:color w:val="000000"/>
                <w:sz w:val="24"/>
                <w:szCs w:val="24"/>
              </w:rPr>
            </w:pPr>
            <w:r w:rsidRPr="00B03616">
              <w:rPr>
                <w:rFonts w:ascii="Times New Roman" w:eastAsia="Times New Roman" w:hAnsi="Times New Roman" w:cs="Times New Roman"/>
                <w:color w:val="000000"/>
                <w:sz w:val="24"/>
                <w:szCs w:val="24"/>
              </w:rPr>
              <w:t>23%</w:t>
            </w:r>
          </w:p>
        </w:tc>
        <w:tc>
          <w:tcPr>
            <w:tcW w:w="1031" w:type="pct"/>
            <w:tcBorders>
              <w:top w:val="nil"/>
              <w:left w:val="nil"/>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rPr>
                <w:rFonts w:ascii="Times New Roman" w:eastAsia="Times New Roman" w:hAnsi="Times New Roman" w:cs="Times New Roman"/>
                <w:color w:val="000000"/>
                <w:sz w:val="24"/>
                <w:szCs w:val="24"/>
              </w:rPr>
            </w:pPr>
            <w:r w:rsidRPr="00B03616">
              <w:rPr>
                <w:rFonts w:ascii="Times New Roman" w:eastAsia="Times New Roman" w:hAnsi="Times New Roman" w:cs="Times New Roman"/>
                <w:color w:val="000000"/>
                <w:sz w:val="24"/>
                <w:szCs w:val="24"/>
              </w:rPr>
              <w:t xml:space="preserve">            1,064,747 </w:t>
            </w:r>
          </w:p>
        </w:tc>
        <w:tc>
          <w:tcPr>
            <w:tcW w:w="1089" w:type="pct"/>
            <w:tcBorders>
              <w:top w:val="nil"/>
              <w:left w:val="nil"/>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rPr>
                <w:rFonts w:ascii="Times New Roman" w:eastAsia="Times New Roman" w:hAnsi="Times New Roman" w:cs="Times New Roman"/>
                <w:color w:val="000000"/>
                <w:sz w:val="24"/>
                <w:szCs w:val="24"/>
              </w:rPr>
            </w:pPr>
            <w:r w:rsidRPr="00B03616">
              <w:rPr>
                <w:rFonts w:ascii="Times New Roman" w:eastAsia="Times New Roman" w:hAnsi="Times New Roman" w:cs="Times New Roman"/>
                <w:color w:val="000000"/>
                <w:sz w:val="24"/>
                <w:szCs w:val="24"/>
              </w:rPr>
              <w:t xml:space="preserve"> 2 Y 6 Month </w:t>
            </w:r>
          </w:p>
        </w:tc>
      </w:tr>
      <w:tr w:rsidR="00B03616" w:rsidRPr="00B03616" w:rsidTr="00B03616">
        <w:trPr>
          <w:trHeight w:val="300"/>
        </w:trPr>
        <w:tc>
          <w:tcPr>
            <w:tcW w:w="1948" w:type="pct"/>
            <w:tcBorders>
              <w:top w:val="nil"/>
              <w:left w:val="single" w:sz="4" w:space="0" w:color="808080"/>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rPr>
                <w:rFonts w:ascii="Times New Roman" w:eastAsia="Times New Roman" w:hAnsi="Times New Roman" w:cs="Times New Roman"/>
                <w:color w:val="000000"/>
                <w:sz w:val="24"/>
                <w:szCs w:val="24"/>
              </w:rPr>
            </w:pPr>
            <w:r w:rsidRPr="00B03616">
              <w:rPr>
                <w:rFonts w:ascii="Times New Roman" w:eastAsia="Times New Roman" w:hAnsi="Times New Roman" w:cs="Times New Roman"/>
                <w:color w:val="000000"/>
                <w:sz w:val="24"/>
                <w:szCs w:val="24"/>
              </w:rPr>
              <w:t>Scenario 2</w:t>
            </w:r>
          </w:p>
        </w:tc>
        <w:tc>
          <w:tcPr>
            <w:tcW w:w="931" w:type="pct"/>
            <w:tcBorders>
              <w:top w:val="nil"/>
              <w:left w:val="nil"/>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jc w:val="right"/>
              <w:rPr>
                <w:rFonts w:ascii="Times New Roman" w:eastAsia="Times New Roman" w:hAnsi="Times New Roman" w:cs="Times New Roman"/>
                <w:color w:val="000000"/>
                <w:sz w:val="24"/>
                <w:szCs w:val="24"/>
              </w:rPr>
            </w:pPr>
            <w:r w:rsidRPr="00B03616">
              <w:rPr>
                <w:rFonts w:ascii="Times New Roman" w:eastAsia="Times New Roman" w:hAnsi="Times New Roman" w:cs="Times New Roman"/>
                <w:color w:val="000000"/>
                <w:sz w:val="24"/>
                <w:szCs w:val="24"/>
              </w:rPr>
              <w:t>5%</w:t>
            </w:r>
          </w:p>
        </w:tc>
        <w:tc>
          <w:tcPr>
            <w:tcW w:w="1031" w:type="pct"/>
            <w:tcBorders>
              <w:top w:val="nil"/>
              <w:left w:val="nil"/>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rPr>
                <w:rFonts w:ascii="Times New Roman" w:eastAsia="Times New Roman" w:hAnsi="Times New Roman" w:cs="Times New Roman"/>
                <w:color w:val="000000"/>
                <w:sz w:val="24"/>
                <w:szCs w:val="24"/>
              </w:rPr>
            </w:pPr>
            <w:r w:rsidRPr="00B03616">
              <w:rPr>
                <w:rFonts w:ascii="Times New Roman" w:eastAsia="Times New Roman" w:hAnsi="Times New Roman" w:cs="Times New Roman"/>
                <w:color w:val="000000"/>
                <w:sz w:val="24"/>
                <w:szCs w:val="24"/>
              </w:rPr>
              <w:t xml:space="preserve">          (1,068,947)</w:t>
            </w:r>
          </w:p>
        </w:tc>
        <w:tc>
          <w:tcPr>
            <w:tcW w:w="1089" w:type="pct"/>
            <w:tcBorders>
              <w:top w:val="nil"/>
              <w:left w:val="nil"/>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rPr>
                <w:rFonts w:ascii="Times New Roman" w:eastAsia="Times New Roman" w:hAnsi="Times New Roman" w:cs="Times New Roman"/>
                <w:color w:val="000000"/>
                <w:sz w:val="24"/>
                <w:szCs w:val="24"/>
              </w:rPr>
            </w:pPr>
            <w:r w:rsidRPr="00B03616">
              <w:rPr>
                <w:rFonts w:ascii="Times New Roman" w:eastAsia="Times New Roman" w:hAnsi="Times New Roman" w:cs="Times New Roman"/>
                <w:color w:val="000000"/>
                <w:sz w:val="24"/>
                <w:szCs w:val="24"/>
              </w:rPr>
              <w:t xml:space="preserve"> 2 Y 10 Month </w:t>
            </w:r>
          </w:p>
        </w:tc>
      </w:tr>
      <w:tr w:rsidR="00B03616" w:rsidRPr="00B03616" w:rsidTr="00B03616">
        <w:trPr>
          <w:trHeight w:val="300"/>
        </w:trPr>
        <w:tc>
          <w:tcPr>
            <w:tcW w:w="1948" w:type="pct"/>
            <w:tcBorders>
              <w:top w:val="nil"/>
              <w:left w:val="single" w:sz="4" w:space="0" w:color="808080"/>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rPr>
                <w:rFonts w:ascii="Times New Roman" w:eastAsia="Times New Roman" w:hAnsi="Times New Roman" w:cs="Times New Roman"/>
                <w:b/>
                <w:color w:val="000000"/>
                <w:sz w:val="24"/>
                <w:szCs w:val="24"/>
              </w:rPr>
            </w:pPr>
            <w:r w:rsidRPr="00B03616">
              <w:rPr>
                <w:rFonts w:ascii="Times New Roman" w:eastAsia="Times New Roman" w:hAnsi="Times New Roman" w:cs="Times New Roman"/>
                <w:b/>
                <w:color w:val="000000"/>
                <w:sz w:val="24"/>
                <w:szCs w:val="24"/>
              </w:rPr>
              <w:t>Expected Value</w:t>
            </w:r>
          </w:p>
        </w:tc>
        <w:tc>
          <w:tcPr>
            <w:tcW w:w="931" w:type="pct"/>
            <w:tcBorders>
              <w:top w:val="nil"/>
              <w:left w:val="nil"/>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jc w:val="right"/>
              <w:rPr>
                <w:rFonts w:ascii="Times New Roman" w:eastAsia="Times New Roman" w:hAnsi="Times New Roman" w:cs="Times New Roman"/>
                <w:b/>
                <w:color w:val="000000"/>
                <w:sz w:val="24"/>
                <w:szCs w:val="24"/>
              </w:rPr>
            </w:pPr>
            <w:r w:rsidRPr="00B03616">
              <w:rPr>
                <w:rFonts w:ascii="Times New Roman" w:eastAsia="Times New Roman" w:hAnsi="Times New Roman" w:cs="Times New Roman"/>
                <w:b/>
                <w:color w:val="000000"/>
                <w:sz w:val="24"/>
                <w:szCs w:val="24"/>
              </w:rPr>
              <w:t>15%</w:t>
            </w:r>
          </w:p>
        </w:tc>
        <w:tc>
          <w:tcPr>
            <w:tcW w:w="1031" w:type="pct"/>
            <w:tcBorders>
              <w:top w:val="nil"/>
              <w:left w:val="nil"/>
              <w:bottom w:val="single" w:sz="4" w:space="0" w:color="808080"/>
              <w:right w:val="single" w:sz="4" w:space="0" w:color="808080"/>
            </w:tcBorders>
            <w:shd w:val="clear" w:color="auto" w:fill="auto"/>
            <w:noWrap/>
            <w:vAlign w:val="bottom"/>
            <w:hideMark/>
          </w:tcPr>
          <w:p w:rsidR="00B03616" w:rsidRPr="00B03616" w:rsidRDefault="00B03616" w:rsidP="00B03616">
            <w:pPr>
              <w:spacing w:after="0" w:line="240" w:lineRule="auto"/>
              <w:rPr>
                <w:rFonts w:ascii="Times New Roman" w:eastAsia="Times New Roman" w:hAnsi="Times New Roman" w:cs="Times New Roman"/>
                <w:b/>
                <w:color w:val="000000"/>
                <w:sz w:val="24"/>
                <w:szCs w:val="24"/>
              </w:rPr>
            </w:pPr>
            <w:r w:rsidRPr="00B03616">
              <w:rPr>
                <w:rFonts w:ascii="Times New Roman" w:eastAsia="Times New Roman" w:hAnsi="Times New Roman" w:cs="Times New Roman"/>
                <w:b/>
                <w:color w:val="000000"/>
                <w:sz w:val="24"/>
                <w:szCs w:val="24"/>
              </w:rPr>
              <w:t xml:space="preserve">                (20,584)</w:t>
            </w:r>
          </w:p>
        </w:tc>
        <w:tc>
          <w:tcPr>
            <w:tcW w:w="1089" w:type="pct"/>
            <w:tcBorders>
              <w:top w:val="nil"/>
              <w:left w:val="nil"/>
              <w:bottom w:val="single" w:sz="4" w:space="0" w:color="808080"/>
              <w:right w:val="single" w:sz="4" w:space="0" w:color="808080"/>
            </w:tcBorders>
            <w:shd w:val="clear" w:color="auto" w:fill="auto"/>
            <w:noWrap/>
            <w:vAlign w:val="bottom"/>
            <w:hideMark/>
          </w:tcPr>
          <w:p w:rsidR="00B03616" w:rsidRPr="00FB739F" w:rsidRDefault="00B03616" w:rsidP="00B03616">
            <w:pPr>
              <w:pStyle w:val="ListParagraph"/>
              <w:numPr>
                <w:ilvl w:val="0"/>
                <w:numId w:val="2"/>
              </w:numPr>
              <w:spacing w:after="0" w:line="240" w:lineRule="auto"/>
              <w:rPr>
                <w:rFonts w:ascii="Times New Roman" w:eastAsia="Times New Roman" w:hAnsi="Times New Roman" w:cs="Times New Roman"/>
                <w:b/>
                <w:color w:val="000000"/>
                <w:sz w:val="24"/>
                <w:szCs w:val="24"/>
              </w:rPr>
            </w:pPr>
            <w:r w:rsidRPr="00FB739F">
              <w:rPr>
                <w:rFonts w:ascii="Times New Roman" w:eastAsia="Times New Roman" w:hAnsi="Times New Roman" w:cs="Times New Roman"/>
                <w:b/>
                <w:color w:val="000000"/>
                <w:sz w:val="24"/>
                <w:szCs w:val="24"/>
              </w:rPr>
              <w:t xml:space="preserve">Y 7  Month </w:t>
            </w:r>
          </w:p>
        </w:tc>
      </w:tr>
    </w:tbl>
    <w:p w:rsidR="00B03616" w:rsidRPr="00FB739F" w:rsidRDefault="00B03616" w:rsidP="00754871">
      <w:pPr>
        <w:spacing w:line="480" w:lineRule="auto"/>
        <w:rPr>
          <w:rFonts w:ascii="Times New Roman" w:hAnsi="Times New Roman" w:cs="Times New Roman"/>
          <w:sz w:val="24"/>
          <w:szCs w:val="24"/>
        </w:rPr>
      </w:pPr>
    </w:p>
    <w:p w:rsidR="00607C14" w:rsidRPr="00FB739F" w:rsidRDefault="00B03616" w:rsidP="00842513">
      <w:pPr>
        <w:pStyle w:val="ListParagraph"/>
        <w:spacing w:line="480" w:lineRule="auto"/>
        <w:ind w:left="360" w:firstLine="360"/>
        <w:jc w:val="both"/>
        <w:rPr>
          <w:rFonts w:ascii="Times New Roman" w:hAnsi="Times New Roman" w:cs="Times New Roman"/>
          <w:sz w:val="24"/>
          <w:szCs w:val="24"/>
        </w:rPr>
      </w:pPr>
      <w:r w:rsidRPr="00FB739F">
        <w:rPr>
          <w:rFonts w:ascii="Times New Roman" w:hAnsi="Times New Roman" w:cs="Times New Roman"/>
          <w:sz w:val="24"/>
          <w:szCs w:val="24"/>
        </w:rPr>
        <w:t xml:space="preserve">The above results indicate that expected net present value of the project is negative whereas the IRR is also less than the minimum required rate of return hence ASC should not invest in the project. </w:t>
      </w:r>
    </w:p>
    <w:p w:rsidR="00842513" w:rsidRPr="00FB739F" w:rsidRDefault="0091287C" w:rsidP="0091287C">
      <w:pPr>
        <w:pStyle w:val="ListParagraph"/>
        <w:numPr>
          <w:ilvl w:val="0"/>
          <w:numId w:val="1"/>
        </w:numPr>
        <w:spacing w:line="480" w:lineRule="auto"/>
        <w:ind w:left="360"/>
        <w:jc w:val="both"/>
        <w:rPr>
          <w:rFonts w:ascii="Times New Roman" w:hAnsi="Times New Roman" w:cs="Times New Roman"/>
          <w:sz w:val="24"/>
          <w:szCs w:val="24"/>
        </w:rPr>
      </w:pPr>
      <w:r w:rsidRPr="00FB739F">
        <w:rPr>
          <w:rFonts w:ascii="Times New Roman" w:hAnsi="Times New Roman" w:cs="Times New Roman"/>
          <w:sz w:val="24"/>
          <w:szCs w:val="24"/>
        </w:rPr>
        <w:t xml:space="preserve"> </w:t>
      </w:r>
      <w:r w:rsidRPr="00FB739F">
        <w:rPr>
          <w:rFonts w:ascii="Times New Roman" w:hAnsi="Times New Roman" w:cs="Times New Roman"/>
          <w:sz w:val="24"/>
          <w:szCs w:val="24"/>
        </w:rPr>
        <w:tab/>
      </w:r>
      <w:r w:rsidR="00842513" w:rsidRPr="00FB739F">
        <w:rPr>
          <w:rFonts w:ascii="Times New Roman" w:hAnsi="Times New Roman" w:cs="Times New Roman"/>
          <w:sz w:val="24"/>
          <w:szCs w:val="24"/>
        </w:rPr>
        <w:t xml:space="preserve">Multiples approach to valuation is based on the </w:t>
      </w:r>
      <w:r w:rsidRPr="00FB739F">
        <w:rPr>
          <w:rFonts w:ascii="Times New Roman" w:hAnsi="Times New Roman" w:cs="Times New Roman"/>
          <w:sz w:val="24"/>
          <w:szCs w:val="24"/>
        </w:rPr>
        <w:t>assumption</w:t>
      </w:r>
      <w:r w:rsidR="00842513" w:rsidRPr="00FB739F">
        <w:rPr>
          <w:rFonts w:ascii="Times New Roman" w:hAnsi="Times New Roman" w:cs="Times New Roman"/>
          <w:sz w:val="24"/>
          <w:szCs w:val="24"/>
        </w:rPr>
        <w:t xml:space="preserve"> that similar assets should have </w:t>
      </w:r>
      <w:r w:rsidRPr="00FB739F">
        <w:rPr>
          <w:rFonts w:ascii="Times New Roman" w:hAnsi="Times New Roman" w:cs="Times New Roman"/>
          <w:sz w:val="24"/>
          <w:szCs w:val="24"/>
        </w:rPr>
        <w:t>similar</w:t>
      </w:r>
      <w:r w:rsidR="00842513" w:rsidRPr="00FB739F">
        <w:rPr>
          <w:rFonts w:ascii="Times New Roman" w:hAnsi="Times New Roman" w:cs="Times New Roman"/>
          <w:sz w:val="24"/>
          <w:szCs w:val="24"/>
        </w:rPr>
        <w:t xml:space="preserve"> prices or values. The said approach uses multiples to determine value of an </w:t>
      </w:r>
      <w:r w:rsidRPr="00FB739F">
        <w:rPr>
          <w:rFonts w:ascii="Times New Roman" w:hAnsi="Times New Roman" w:cs="Times New Roman"/>
          <w:sz w:val="24"/>
          <w:szCs w:val="24"/>
        </w:rPr>
        <w:t>entity</w:t>
      </w:r>
      <w:r w:rsidR="00842513" w:rsidRPr="00FB739F">
        <w:rPr>
          <w:rFonts w:ascii="Times New Roman" w:hAnsi="Times New Roman" w:cs="Times New Roman"/>
          <w:sz w:val="24"/>
          <w:szCs w:val="24"/>
        </w:rPr>
        <w:t xml:space="preserve"> or a project where multiples refer to ratios between different financial variables. In most scenarios the numerator of </w:t>
      </w:r>
      <w:r w:rsidRPr="00FB739F">
        <w:rPr>
          <w:rFonts w:ascii="Times New Roman" w:hAnsi="Times New Roman" w:cs="Times New Roman"/>
          <w:sz w:val="24"/>
          <w:szCs w:val="24"/>
        </w:rPr>
        <w:t>the</w:t>
      </w:r>
      <w:r w:rsidR="00842513" w:rsidRPr="00FB739F">
        <w:rPr>
          <w:rFonts w:ascii="Times New Roman" w:hAnsi="Times New Roman" w:cs="Times New Roman"/>
          <w:sz w:val="24"/>
          <w:szCs w:val="24"/>
        </w:rPr>
        <w:t xml:space="preserve"> multiple used will </w:t>
      </w:r>
      <w:r w:rsidRPr="00FB739F">
        <w:rPr>
          <w:rFonts w:ascii="Times New Roman" w:hAnsi="Times New Roman" w:cs="Times New Roman"/>
          <w:sz w:val="24"/>
          <w:szCs w:val="24"/>
        </w:rPr>
        <w:t xml:space="preserve">price or enterprise value of an entity or project. Enterprise value in this context refers to the sum of company’s debt and equity’s market value. </w:t>
      </w:r>
      <w:r w:rsidR="00EE5DDC" w:rsidRPr="00FB739F">
        <w:rPr>
          <w:rFonts w:ascii="Times New Roman" w:hAnsi="Times New Roman" w:cs="Times New Roman"/>
          <w:sz w:val="24"/>
          <w:szCs w:val="24"/>
        </w:rPr>
        <w:t xml:space="preserve">(Petit, 2013) </w:t>
      </w:r>
    </w:p>
    <w:p w:rsidR="00B777BA" w:rsidRPr="00FB739F" w:rsidRDefault="0065157A" w:rsidP="0065157A">
      <w:pPr>
        <w:pStyle w:val="ListParagraph"/>
        <w:numPr>
          <w:ilvl w:val="0"/>
          <w:numId w:val="1"/>
        </w:numPr>
        <w:spacing w:line="480" w:lineRule="auto"/>
        <w:ind w:left="360"/>
        <w:jc w:val="both"/>
        <w:rPr>
          <w:rFonts w:ascii="Times New Roman" w:hAnsi="Times New Roman" w:cs="Times New Roman"/>
          <w:sz w:val="24"/>
          <w:szCs w:val="24"/>
        </w:rPr>
      </w:pPr>
      <w:r w:rsidRPr="00FB739F">
        <w:rPr>
          <w:rFonts w:ascii="Times New Roman" w:hAnsi="Times New Roman" w:cs="Times New Roman"/>
          <w:sz w:val="24"/>
          <w:szCs w:val="24"/>
        </w:rPr>
        <w:t xml:space="preserve"> </w:t>
      </w:r>
      <w:r w:rsidRPr="00FB739F">
        <w:rPr>
          <w:rFonts w:ascii="Times New Roman" w:hAnsi="Times New Roman" w:cs="Times New Roman"/>
          <w:sz w:val="24"/>
          <w:szCs w:val="24"/>
        </w:rPr>
        <w:tab/>
      </w:r>
      <w:r w:rsidR="00B777BA" w:rsidRPr="00FB739F">
        <w:rPr>
          <w:rFonts w:ascii="Times New Roman" w:hAnsi="Times New Roman" w:cs="Times New Roman"/>
          <w:sz w:val="24"/>
          <w:szCs w:val="24"/>
        </w:rPr>
        <w:t xml:space="preserve">In case project NPV is positive it is an indication that </w:t>
      </w:r>
      <w:r w:rsidRPr="00FB739F">
        <w:rPr>
          <w:rFonts w:ascii="Times New Roman" w:hAnsi="Times New Roman" w:cs="Times New Roman"/>
          <w:sz w:val="24"/>
          <w:szCs w:val="24"/>
        </w:rPr>
        <w:t>discount</w:t>
      </w:r>
      <w:r w:rsidR="00B777BA" w:rsidRPr="00FB739F">
        <w:rPr>
          <w:rFonts w:ascii="Times New Roman" w:hAnsi="Times New Roman" w:cs="Times New Roman"/>
          <w:sz w:val="24"/>
          <w:szCs w:val="24"/>
        </w:rPr>
        <w:t xml:space="preserve"> rate is less than the IRR which is the discount rate at which overall NPV of any project is zero. </w:t>
      </w:r>
      <w:r w:rsidR="00EE5DDC" w:rsidRPr="00FB739F">
        <w:rPr>
          <w:rFonts w:ascii="Times New Roman" w:hAnsi="Times New Roman" w:cs="Times New Roman"/>
          <w:sz w:val="24"/>
          <w:szCs w:val="24"/>
        </w:rPr>
        <w:t>(Petit, 2013)</w:t>
      </w:r>
    </w:p>
    <w:p w:rsidR="0065157A" w:rsidRPr="00FB739F" w:rsidRDefault="004D5D28" w:rsidP="001F39A3">
      <w:pPr>
        <w:pStyle w:val="ListParagraph"/>
        <w:numPr>
          <w:ilvl w:val="0"/>
          <w:numId w:val="1"/>
        </w:numPr>
        <w:spacing w:line="480" w:lineRule="auto"/>
        <w:ind w:left="360"/>
        <w:jc w:val="both"/>
        <w:rPr>
          <w:rFonts w:ascii="Times New Roman" w:hAnsi="Times New Roman" w:cs="Times New Roman"/>
          <w:sz w:val="24"/>
          <w:szCs w:val="24"/>
        </w:rPr>
      </w:pPr>
      <w:r w:rsidRPr="00FB739F">
        <w:rPr>
          <w:rFonts w:ascii="Times New Roman" w:hAnsi="Times New Roman" w:cs="Times New Roman"/>
          <w:sz w:val="24"/>
          <w:szCs w:val="24"/>
        </w:rPr>
        <w:t xml:space="preserve"> </w:t>
      </w:r>
      <w:r w:rsidRPr="00FB739F">
        <w:rPr>
          <w:rFonts w:ascii="Times New Roman" w:hAnsi="Times New Roman" w:cs="Times New Roman"/>
          <w:sz w:val="24"/>
          <w:szCs w:val="24"/>
        </w:rPr>
        <w:tab/>
      </w:r>
      <w:r w:rsidR="0065157A" w:rsidRPr="00FB739F">
        <w:rPr>
          <w:rFonts w:ascii="Times New Roman" w:hAnsi="Times New Roman" w:cs="Times New Roman"/>
          <w:sz w:val="24"/>
          <w:szCs w:val="24"/>
        </w:rPr>
        <w:t xml:space="preserve">Taking over a business situated in a foreign country exposes the ASC to both business risks as well as additional risks due to currency fluctuations. Specifically, the actual returns generated by the investment made in foreign county and currency will not only expose ASC to market risk associated with underlying asset along with country specific risks but returns </w:t>
      </w:r>
      <w:r w:rsidR="0065157A" w:rsidRPr="00FB739F">
        <w:rPr>
          <w:rFonts w:ascii="Times New Roman" w:hAnsi="Times New Roman" w:cs="Times New Roman"/>
          <w:sz w:val="24"/>
          <w:szCs w:val="24"/>
        </w:rPr>
        <w:lastRenderedPageBreak/>
        <w:t xml:space="preserve">will also be impacted by the movement in exchange rate between the company’s home currency and investment currency. </w:t>
      </w:r>
      <w:r w:rsidR="00EE5DDC" w:rsidRPr="00FB739F">
        <w:rPr>
          <w:rFonts w:ascii="Times New Roman" w:hAnsi="Times New Roman" w:cs="Times New Roman"/>
          <w:sz w:val="24"/>
          <w:szCs w:val="24"/>
        </w:rPr>
        <w:t>(New Direction, 2014)</w:t>
      </w:r>
    </w:p>
    <w:p w:rsidR="0065157A" w:rsidRPr="00FB739F" w:rsidRDefault="0065157A" w:rsidP="001F39A3">
      <w:pPr>
        <w:pStyle w:val="ListParagraph"/>
        <w:spacing w:line="480" w:lineRule="auto"/>
        <w:ind w:left="360" w:firstLine="360"/>
        <w:jc w:val="both"/>
        <w:rPr>
          <w:rFonts w:ascii="Times New Roman" w:hAnsi="Times New Roman" w:cs="Times New Roman"/>
          <w:sz w:val="24"/>
          <w:szCs w:val="24"/>
        </w:rPr>
      </w:pPr>
      <w:r w:rsidRPr="00FB739F">
        <w:rPr>
          <w:rFonts w:ascii="Times New Roman" w:hAnsi="Times New Roman" w:cs="Times New Roman"/>
          <w:sz w:val="24"/>
          <w:szCs w:val="24"/>
        </w:rPr>
        <w:t xml:space="preserve">For instance, even if the actual cash flows generate by the project in foreign currency are in line with projections the actual cash flows repatriated to the company will depend on movement of cash flows and hence may be less than those needed to meet company’s required return objectives. Another major disadvantage assisted with foreign country investing is related to the differences in regulatory and legal regimes which may not be in the best interests of foreign investors and favor local companies. Similarly, when investing in developing economies companies may face issues in repatriation of funds if capital barriers are in place. </w:t>
      </w:r>
      <w:r w:rsidR="00EE5DDC" w:rsidRPr="00FB739F">
        <w:rPr>
          <w:rFonts w:ascii="Times New Roman" w:hAnsi="Times New Roman" w:cs="Times New Roman"/>
          <w:sz w:val="24"/>
          <w:szCs w:val="24"/>
        </w:rPr>
        <w:t>(New Direction, 2014)</w:t>
      </w:r>
    </w:p>
    <w:p w:rsidR="0065157A" w:rsidRPr="00FB739F" w:rsidRDefault="0065157A" w:rsidP="0065157A">
      <w:pPr>
        <w:spacing w:line="480" w:lineRule="auto"/>
        <w:jc w:val="both"/>
        <w:rPr>
          <w:rFonts w:ascii="Times New Roman" w:hAnsi="Times New Roman" w:cs="Times New Roman"/>
          <w:sz w:val="24"/>
          <w:szCs w:val="24"/>
        </w:rPr>
      </w:pPr>
    </w:p>
    <w:p w:rsidR="00FB739F" w:rsidRPr="00FB739F" w:rsidRDefault="00FB739F">
      <w:pPr>
        <w:rPr>
          <w:rFonts w:ascii="Times New Roman" w:hAnsi="Times New Roman" w:cs="Times New Roman"/>
          <w:sz w:val="24"/>
          <w:szCs w:val="24"/>
        </w:rPr>
      </w:pPr>
      <w:r w:rsidRPr="00FB739F">
        <w:rPr>
          <w:rFonts w:ascii="Times New Roman" w:hAnsi="Times New Roman" w:cs="Times New Roman"/>
          <w:sz w:val="24"/>
          <w:szCs w:val="24"/>
        </w:rPr>
        <w:br w:type="page"/>
      </w:r>
      <w:bookmarkStart w:id="0" w:name="_GoBack"/>
      <w:bookmarkEnd w:id="0"/>
    </w:p>
    <w:p w:rsidR="00FB739F" w:rsidRPr="00FB739F" w:rsidRDefault="00FB739F" w:rsidP="00FB739F">
      <w:pPr>
        <w:spacing w:after="100" w:afterAutospacing="1" w:line="480" w:lineRule="auto"/>
        <w:jc w:val="both"/>
        <w:outlineLvl w:val="1"/>
        <w:rPr>
          <w:rFonts w:ascii="Times New Roman" w:eastAsia="Times New Roman" w:hAnsi="Times New Roman" w:cs="Times New Roman"/>
          <w:b/>
          <w:color w:val="000000"/>
          <w:sz w:val="24"/>
          <w:szCs w:val="24"/>
        </w:rPr>
      </w:pPr>
      <w:r w:rsidRPr="00FB739F">
        <w:rPr>
          <w:rFonts w:ascii="Times New Roman" w:eastAsia="Times New Roman" w:hAnsi="Times New Roman" w:cs="Times New Roman"/>
          <w:b/>
          <w:color w:val="000000"/>
          <w:sz w:val="24"/>
          <w:szCs w:val="24"/>
        </w:rPr>
        <w:lastRenderedPageBreak/>
        <w:t>References</w:t>
      </w:r>
    </w:p>
    <w:p w:rsidR="00FB739F" w:rsidRPr="00FB739F" w:rsidRDefault="00FB739F" w:rsidP="00FB739F">
      <w:pPr>
        <w:spacing w:after="180" w:line="480" w:lineRule="auto"/>
        <w:ind w:left="450" w:hanging="450"/>
        <w:jc w:val="both"/>
        <w:rPr>
          <w:rFonts w:ascii="Times New Roman" w:eastAsia="Times New Roman" w:hAnsi="Times New Roman" w:cs="Times New Roman"/>
          <w:color w:val="000000"/>
          <w:sz w:val="24"/>
          <w:szCs w:val="24"/>
        </w:rPr>
      </w:pPr>
      <w:proofErr w:type="gramStart"/>
      <w:r w:rsidRPr="00FB739F">
        <w:rPr>
          <w:rFonts w:ascii="Times New Roman" w:eastAsia="Times New Roman" w:hAnsi="Times New Roman" w:cs="Times New Roman"/>
          <w:color w:val="000000"/>
          <w:sz w:val="24"/>
          <w:szCs w:val="24"/>
        </w:rPr>
        <w:t>New Direction.</w:t>
      </w:r>
      <w:proofErr w:type="gramEnd"/>
      <w:r w:rsidRPr="00FB739F">
        <w:rPr>
          <w:rFonts w:ascii="Times New Roman" w:eastAsia="Times New Roman" w:hAnsi="Times New Roman" w:cs="Times New Roman"/>
          <w:color w:val="000000"/>
          <w:sz w:val="24"/>
          <w:szCs w:val="24"/>
        </w:rPr>
        <w:t xml:space="preserve"> (2014). </w:t>
      </w:r>
      <w:proofErr w:type="gramStart"/>
      <w:r w:rsidRPr="00FB739F">
        <w:rPr>
          <w:rFonts w:ascii="Times New Roman" w:eastAsia="Times New Roman" w:hAnsi="Times New Roman" w:cs="Times New Roman"/>
          <w:i/>
          <w:iCs/>
          <w:color w:val="000000"/>
          <w:sz w:val="24"/>
          <w:szCs w:val="24"/>
        </w:rPr>
        <w:t>The</w:t>
      </w:r>
      <w:proofErr w:type="gramEnd"/>
      <w:r w:rsidRPr="00FB739F">
        <w:rPr>
          <w:rFonts w:ascii="Times New Roman" w:eastAsia="Times New Roman" w:hAnsi="Times New Roman" w:cs="Times New Roman"/>
          <w:i/>
          <w:iCs/>
          <w:color w:val="000000"/>
          <w:sz w:val="24"/>
          <w:szCs w:val="24"/>
        </w:rPr>
        <w:t xml:space="preserve"> Economic Advantages and Disadvantages of Foreign Takeovers</w:t>
      </w:r>
      <w:r w:rsidRPr="00FB739F">
        <w:rPr>
          <w:rFonts w:ascii="Times New Roman" w:eastAsia="Times New Roman" w:hAnsi="Times New Roman" w:cs="Times New Roman"/>
          <w:color w:val="000000"/>
          <w:sz w:val="24"/>
          <w:szCs w:val="24"/>
        </w:rPr>
        <w:t> [Ebook]. Retrieved from https://www.newdirection.online/files/New_Direction_-_Foreign_Takeovers.pdf</w:t>
      </w:r>
    </w:p>
    <w:p w:rsidR="00FB739F" w:rsidRPr="00FB739F" w:rsidRDefault="00FB739F" w:rsidP="00FB739F">
      <w:pPr>
        <w:spacing w:after="180" w:line="480" w:lineRule="auto"/>
        <w:ind w:left="450" w:hanging="450"/>
        <w:jc w:val="both"/>
        <w:rPr>
          <w:rFonts w:ascii="Times New Roman" w:eastAsia="Times New Roman" w:hAnsi="Times New Roman" w:cs="Times New Roman"/>
          <w:color w:val="000000"/>
          <w:sz w:val="24"/>
          <w:szCs w:val="24"/>
        </w:rPr>
      </w:pPr>
      <w:proofErr w:type="spellStart"/>
      <w:r w:rsidRPr="00FB739F">
        <w:rPr>
          <w:rFonts w:ascii="Times New Roman" w:eastAsia="Times New Roman" w:hAnsi="Times New Roman" w:cs="Times New Roman"/>
          <w:color w:val="000000"/>
          <w:sz w:val="24"/>
          <w:szCs w:val="24"/>
        </w:rPr>
        <w:t>Petitt</w:t>
      </w:r>
      <w:proofErr w:type="spellEnd"/>
      <w:r w:rsidRPr="00FB739F">
        <w:rPr>
          <w:rFonts w:ascii="Times New Roman" w:eastAsia="Times New Roman" w:hAnsi="Times New Roman" w:cs="Times New Roman"/>
          <w:color w:val="000000"/>
          <w:sz w:val="24"/>
          <w:szCs w:val="24"/>
        </w:rPr>
        <w:t>, B. (2013). </w:t>
      </w:r>
      <w:proofErr w:type="gramStart"/>
      <w:r w:rsidRPr="00FB739F">
        <w:rPr>
          <w:rFonts w:ascii="Times New Roman" w:eastAsia="Times New Roman" w:hAnsi="Times New Roman" w:cs="Times New Roman"/>
          <w:i/>
          <w:iCs/>
          <w:color w:val="000000"/>
          <w:sz w:val="24"/>
          <w:szCs w:val="24"/>
        </w:rPr>
        <w:t>Valuation for mergers and acquisitions</w:t>
      </w:r>
      <w:r w:rsidRPr="00FB739F">
        <w:rPr>
          <w:rFonts w:ascii="Times New Roman" w:eastAsia="Times New Roman" w:hAnsi="Times New Roman" w:cs="Times New Roman"/>
          <w:color w:val="000000"/>
          <w:sz w:val="24"/>
          <w:szCs w:val="24"/>
        </w:rPr>
        <w:t>.</w:t>
      </w:r>
      <w:proofErr w:type="gramEnd"/>
    </w:p>
    <w:p w:rsidR="00FB739F" w:rsidRPr="00FB739F" w:rsidRDefault="00FB739F" w:rsidP="00FB739F">
      <w:pPr>
        <w:spacing w:after="180" w:line="480" w:lineRule="auto"/>
        <w:ind w:left="450" w:hanging="450"/>
        <w:jc w:val="both"/>
        <w:rPr>
          <w:rFonts w:ascii="Times New Roman" w:eastAsia="Times New Roman" w:hAnsi="Times New Roman" w:cs="Times New Roman"/>
          <w:color w:val="000000"/>
          <w:sz w:val="24"/>
          <w:szCs w:val="24"/>
        </w:rPr>
      </w:pPr>
      <w:proofErr w:type="gramStart"/>
      <w:r w:rsidRPr="00FB739F">
        <w:rPr>
          <w:rFonts w:ascii="Times New Roman" w:eastAsia="Times New Roman" w:hAnsi="Times New Roman" w:cs="Times New Roman"/>
          <w:color w:val="000000"/>
          <w:sz w:val="24"/>
          <w:szCs w:val="24"/>
        </w:rPr>
        <w:t>Scenario Analysis &amp; Sensitivity Analysis - 8020 Consulting Posts.</w:t>
      </w:r>
      <w:proofErr w:type="gramEnd"/>
      <w:r w:rsidRPr="00FB739F">
        <w:rPr>
          <w:rFonts w:ascii="Times New Roman" w:eastAsia="Times New Roman" w:hAnsi="Times New Roman" w:cs="Times New Roman"/>
          <w:color w:val="000000"/>
          <w:sz w:val="24"/>
          <w:szCs w:val="24"/>
        </w:rPr>
        <w:t xml:space="preserve"> (2020). Retrieved 2 December 2020, from https://8020consulting.com/sensitivity-analysis-and-scenario-analysis/</w:t>
      </w:r>
    </w:p>
    <w:p w:rsidR="00754871" w:rsidRPr="00FB739F" w:rsidRDefault="00B03616" w:rsidP="00B03616">
      <w:pPr>
        <w:tabs>
          <w:tab w:val="left" w:pos="2445"/>
        </w:tabs>
        <w:rPr>
          <w:rFonts w:ascii="Times New Roman" w:hAnsi="Times New Roman" w:cs="Times New Roman"/>
          <w:sz w:val="24"/>
          <w:szCs w:val="24"/>
        </w:rPr>
      </w:pPr>
      <w:r w:rsidRPr="00FB739F">
        <w:rPr>
          <w:rFonts w:ascii="Times New Roman" w:hAnsi="Times New Roman" w:cs="Times New Roman"/>
          <w:sz w:val="24"/>
          <w:szCs w:val="24"/>
        </w:rPr>
        <w:tab/>
      </w:r>
    </w:p>
    <w:sectPr w:rsidR="00754871" w:rsidRPr="00FB739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9A2" w:rsidRDefault="006579A2" w:rsidP="006442E4">
      <w:pPr>
        <w:spacing w:after="0" w:line="240" w:lineRule="auto"/>
      </w:pPr>
      <w:r>
        <w:separator/>
      </w:r>
    </w:p>
  </w:endnote>
  <w:endnote w:type="continuationSeparator" w:id="0">
    <w:p w:rsidR="006579A2" w:rsidRDefault="006579A2" w:rsidP="006442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2022502503"/>
      <w:docPartObj>
        <w:docPartGallery w:val="Page Numbers (Bottom of Page)"/>
        <w:docPartUnique/>
      </w:docPartObj>
    </w:sdtPr>
    <w:sdtEndPr>
      <w:rPr>
        <w:noProof/>
      </w:rPr>
    </w:sdtEndPr>
    <w:sdtContent>
      <w:p w:rsidR="00E26DA8" w:rsidRPr="00E26DA8" w:rsidRDefault="00E26DA8" w:rsidP="00E26DA8">
        <w:pPr>
          <w:pStyle w:val="Footer"/>
          <w:pBdr>
            <w:top w:val="single" w:sz="4" w:space="1" w:color="auto"/>
          </w:pBdr>
          <w:jc w:val="right"/>
          <w:rPr>
            <w:rFonts w:ascii="Times New Roman" w:hAnsi="Times New Roman" w:cs="Times New Roman"/>
            <w:sz w:val="24"/>
            <w:szCs w:val="24"/>
          </w:rPr>
        </w:pPr>
        <w:r w:rsidRPr="00E26DA8">
          <w:rPr>
            <w:rFonts w:ascii="Times New Roman" w:hAnsi="Times New Roman" w:cs="Times New Roman"/>
            <w:sz w:val="24"/>
            <w:szCs w:val="24"/>
          </w:rPr>
          <w:fldChar w:fldCharType="begin"/>
        </w:r>
        <w:r w:rsidRPr="00E26DA8">
          <w:rPr>
            <w:rFonts w:ascii="Times New Roman" w:hAnsi="Times New Roman" w:cs="Times New Roman"/>
            <w:sz w:val="24"/>
            <w:szCs w:val="24"/>
          </w:rPr>
          <w:instrText xml:space="preserve"> PAGE   \* MERGEFORMAT </w:instrText>
        </w:r>
        <w:r w:rsidRPr="00E26DA8">
          <w:rPr>
            <w:rFonts w:ascii="Times New Roman" w:hAnsi="Times New Roman" w:cs="Times New Roman"/>
            <w:sz w:val="24"/>
            <w:szCs w:val="24"/>
          </w:rPr>
          <w:fldChar w:fldCharType="separate"/>
        </w:r>
        <w:r w:rsidR="00FB739F">
          <w:rPr>
            <w:rFonts w:ascii="Times New Roman" w:hAnsi="Times New Roman" w:cs="Times New Roman"/>
            <w:noProof/>
            <w:sz w:val="24"/>
            <w:szCs w:val="24"/>
          </w:rPr>
          <w:t>3</w:t>
        </w:r>
        <w:r w:rsidRPr="00E26DA8">
          <w:rPr>
            <w:rFonts w:ascii="Times New Roman" w:hAnsi="Times New Roman" w:cs="Times New Roman"/>
            <w:noProof/>
            <w:sz w:val="24"/>
            <w:szCs w:val="24"/>
          </w:rPr>
          <w:fldChar w:fldCharType="end"/>
        </w:r>
      </w:p>
    </w:sdtContent>
  </w:sdt>
  <w:p w:rsidR="00E26DA8" w:rsidRPr="00E26DA8" w:rsidRDefault="00E26DA8" w:rsidP="00E26DA8">
    <w:pPr>
      <w:pStyle w:val="Footer"/>
      <w:pBdr>
        <w:top w:val="single" w:sz="4" w:space="1" w:color="auto"/>
      </w:pBdr>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9A2" w:rsidRDefault="006579A2" w:rsidP="006442E4">
      <w:pPr>
        <w:spacing w:after="0" w:line="240" w:lineRule="auto"/>
      </w:pPr>
      <w:r>
        <w:separator/>
      </w:r>
    </w:p>
  </w:footnote>
  <w:footnote w:type="continuationSeparator" w:id="0">
    <w:p w:rsidR="006579A2" w:rsidRDefault="006579A2" w:rsidP="006442E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2E4" w:rsidRPr="006442E4" w:rsidRDefault="006442E4" w:rsidP="006442E4">
    <w:pPr>
      <w:pStyle w:val="Header"/>
      <w:pBdr>
        <w:bottom w:val="single" w:sz="4" w:space="1" w:color="auto"/>
      </w:pBdr>
      <w:rPr>
        <w:rFonts w:ascii="Times New Roman" w:hAnsi="Times New Roman" w:cs="Times New Roman"/>
        <w:b/>
        <w:sz w:val="24"/>
        <w:szCs w:val="24"/>
      </w:rPr>
    </w:pPr>
    <w:r w:rsidRPr="006442E4">
      <w:rPr>
        <w:rFonts w:ascii="Times New Roman" w:hAnsi="Times New Roman" w:cs="Times New Roman"/>
        <w:b/>
        <w:sz w:val="24"/>
        <w:szCs w:val="24"/>
      </w:rPr>
      <w:t xml:space="preserve">QID 27467 Solution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20D78"/>
    <w:multiLevelType w:val="hybridMultilevel"/>
    <w:tmpl w:val="2A240054"/>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5EB34BAF"/>
    <w:multiLevelType w:val="hybridMultilevel"/>
    <w:tmpl w:val="49B89CB0"/>
    <w:lvl w:ilvl="0" w:tplc="C12AF61C">
      <w:start w:val="2"/>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607"/>
    <w:rsid w:val="001A4A12"/>
    <w:rsid w:val="001F39A3"/>
    <w:rsid w:val="00364257"/>
    <w:rsid w:val="003B04C0"/>
    <w:rsid w:val="0045102D"/>
    <w:rsid w:val="004D5D28"/>
    <w:rsid w:val="00607C14"/>
    <w:rsid w:val="006442E4"/>
    <w:rsid w:val="0065157A"/>
    <w:rsid w:val="006579A2"/>
    <w:rsid w:val="00754871"/>
    <w:rsid w:val="00842513"/>
    <w:rsid w:val="0091287C"/>
    <w:rsid w:val="00954F6F"/>
    <w:rsid w:val="00A614B2"/>
    <w:rsid w:val="00B03616"/>
    <w:rsid w:val="00B777BA"/>
    <w:rsid w:val="00D816FF"/>
    <w:rsid w:val="00E26DA8"/>
    <w:rsid w:val="00EE5DDC"/>
    <w:rsid w:val="00F3111B"/>
    <w:rsid w:val="00F84607"/>
    <w:rsid w:val="00FB73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B73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42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42E4"/>
  </w:style>
  <w:style w:type="paragraph" w:styleId="Footer">
    <w:name w:val="footer"/>
    <w:basedOn w:val="Normal"/>
    <w:link w:val="FooterChar"/>
    <w:uiPriority w:val="99"/>
    <w:unhideWhenUsed/>
    <w:rsid w:val="006442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42E4"/>
  </w:style>
  <w:style w:type="paragraph" w:styleId="ListParagraph">
    <w:name w:val="List Paragraph"/>
    <w:basedOn w:val="Normal"/>
    <w:uiPriority w:val="34"/>
    <w:qFormat/>
    <w:rsid w:val="006442E4"/>
    <w:pPr>
      <w:ind w:left="720"/>
      <w:contextualSpacing/>
    </w:pPr>
  </w:style>
  <w:style w:type="character" w:customStyle="1" w:styleId="Heading2Char">
    <w:name w:val="Heading 2 Char"/>
    <w:basedOn w:val="DefaultParagraphFont"/>
    <w:link w:val="Heading2"/>
    <w:uiPriority w:val="9"/>
    <w:rsid w:val="00FB739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B739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FB739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42E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42E4"/>
  </w:style>
  <w:style w:type="paragraph" w:styleId="Footer">
    <w:name w:val="footer"/>
    <w:basedOn w:val="Normal"/>
    <w:link w:val="FooterChar"/>
    <w:uiPriority w:val="99"/>
    <w:unhideWhenUsed/>
    <w:rsid w:val="006442E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42E4"/>
  </w:style>
  <w:style w:type="paragraph" w:styleId="ListParagraph">
    <w:name w:val="List Paragraph"/>
    <w:basedOn w:val="Normal"/>
    <w:uiPriority w:val="34"/>
    <w:qFormat/>
    <w:rsid w:val="006442E4"/>
    <w:pPr>
      <w:ind w:left="720"/>
      <w:contextualSpacing/>
    </w:pPr>
  </w:style>
  <w:style w:type="character" w:customStyle="1" w:styleId="Heading2Char">
    <w:name w:val="Heading 2 Char"/>
    <w:basedOn w:val="DefaultParagraphFont"/>
    <w:link w:val="Heading2"/>
    <w:uiPriority w:val="9"/>
    <w:rsid w:val="00FB739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B739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707269">
      <w:bodyDiv w:val="1"/>
      <w:marLeft w:val="0"/>
      <w:marRight w:val="0"/>
      <w:marTop w:val="0"/>
      <w:marBottom w:val="0"/>
      <w:divBdr>
        <w:top w:val="none" w:sz="0" w:space="0" w:color="auto"/>
        <w:left w:val="none" w:sz="0" w:space="0" w:color="auto"/>
        <w:bottom w:val="none" w:sz="0" w:space="0" w:color="auto"/>
        <w:right w:val="none" w:sz="0" w:space="0" w:color="auto"/>
      </w:divBdr>
    </w:div>
    <w:div w:id="175073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4</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16</cp:revision>
  <dcterms:created xsi:type="dcterms:W3CDTF">2020-12-02T11:15:00Z</dcterms:created>
  <dcterms:modified xsi:type="dcterms:W3CDTF">2020-12-02T12:18:00Z</dcterms:modified>
</cp:coreProperties>
</file>